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13" w:rsidRPr="00D36213" w:rsidRDefault="00A912EF" w:rsidP="00D362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912E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Татьяна\Pictures\2017-04-14 УП духовые\УП духов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4-14 УП духовые\УП духовы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36213" w:rsidRPr="00D36213">
        <w:rPr>
          <w:rFonts w:ascii="Times New Roman" w:hAnsi="Times New Roman"/>
          <w:sz w:val="20"/>
          <w:szCs w:val="20"/>
        </w:rPr>
        <w:lastRenderedPageBreak/>
        <w:t xml:space="preserve">Утверждаю </w:t>
      </w:r>
    </w:p>
    <w:p w:rsidR="00D36213" w:rsidRPr="00D36213" w:rsidRDefault="00D36213" w:rsidP="00D362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>Директор МБУ ДО «ДМШ»</w:t>
      </w:r>
    </w:p>
    <w:p w:rsidR="00D36213" w:rsidRPr="00D36213" w:rsidRDefault="00D36213" w:rsidP="00D362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 xml:space="preserve">______________ </w:t>
      </w:r>
      <w:proofErr w:type="spellStart"/>
      <w:r w:rsidRPr="00D36213">
        <w:rPr>
          <w:rFonts w:ascii="Times New Roman" w:hAnsi="Times New Roman"/>
          <w:sz w:val="20"/>
          <w:szCs w:val="20"/>
        </w:rPr>
        <w:t>Худайгулова</w:t>
      </w:r>
      <w:proofErr w:type="spellEnd"/>
      <w:r w:rsidRPr="00D36213">
        <w:rPr>
          <w:rFonts w:ascii="Times New Roman" w:hAnsi="Times New Roman"/>
          <w:sz w:val="20"/>
          <w:szCs w:val="20"/>
        </w:rPr>
        <w:t xml:space="preserve"> И.Е.</w:t>
      </w:r>
    </w:p>
    <w:p w:rsidR="00D36213" w:rsidRPr="00D36213" w:rsidRDefault="00D36213" w:rsidP="00D362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>"____" _______________ 201</w:t>
      </w:r>
      <w:r>
        <w:rPr>
          <w:rFonts w:ascii="Times New Roman" w:hAnsi="Times New Roman"/>
          <w:sz w:val="20"/>
          <w:szCs w:val="20"/>
        </w:rPr>
        <w:t>6</w:t>
      </w:r>
      <w:r w:rsidRPr="00D36213">
        <w:rPr>
          <w:rFonts w:ascii="Times New Roman" w:hAnsi="Times New Roman"/>
          <w:sz w:val="20"/>
          <w:szCs w:val="20"/>
        </w:rPr>
        <w:t xml:space="preserve"> г.</w:t>
      </w:r>
    </w:p>
    <w:p w:rsidR="00D36213" w:rsidRPr="00D36213" w:rsidRDefault="00D36213" w:rsidP="00D36213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36213" w:rsidRPr="00D36213" w:rsidRDefault="00D36213" w:rsidP="00D362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36213">
        <w:rPr>
          <w:rFonts w:ascii="Times New Roman" w:hAnsi="Times New Roman"/>
          <w:b/>
          <w:sz w:val="20"/>
          <w:szCs w:val="20"/>
          <w:lang w:eastAsia="ru-RU"/>
        </w:rPr>
        <w:t>УЧЕБНЫЙ ПЛАН</w:t>
      </w:r>
    </w:p>
    <w:p w:rsidR="00D36213" w:rsidRPr="00D36213" w:rsidRDefault="00D36213" w:rsidP="00D36213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36213">
        <w:rPr>
          <w:rFonts w:ascii="Times New Roman" w:hAnsi="Times New Roman"/>
          <w:b/>
          <w:sz w:val="20"/>
          <w:szCs w:val="20"/>
          <w:lang w:eastAsia="ru-RU"/>
        </w:rPr>
        <w:t>по дополнит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ельной предпрофессиональной </w:t>
      </w:r>
      <w:r w:rsidRPr="00D36213">
        <w:rPr>
          <w:rFonts w:ascii="Times New Roman" w:hAnsi="Times New Roman"/>
          <w:b/>
          <w:sz w:val="20"/>
          <w:szCs w:val="20"/>
          <w:lang w:eastAsia="ru-RU"/>
        </w:rPr>
        <w:t>образовательной программе</w:t>
      </w:r>
    </w:p>
    <w:p w:rsidR="00D36213" w:rsidRPr="00D36213" w:rsidRDefault="00D36213" w:rsidP="00D36213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36213">
        <w:rPr>
          <w:rFonts w:ascii="Times New Roman" w:hAnsi="Times New Roman"/>
          <w:b/>
          <w:sz w:val="20"/>
          <w:szCs w:val="20"/>
          <w:lang w:eastAsia="ru-RU"/>
        </w:rPr>
        <w:t>в области музыкального искусства «Духовые и ударные инструменты»</w:t>
      </w:r>
    </w:p>
    <w:p w:rsidR="00D36213" w:rsidRPr="00D36213" w:rsidRDefault="00D36213" w:rsidP="00D36213">
      <w:pPr>
        <w:spacing w:after="0" w:line="216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36213" w:rsidRPr="00D36213" w:rsidRDefault="00D36213" w:rsidP="00D36213">
      <w:pPr>
        <w:spacing w:after="0" w:line="216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36213">
        <w:rPr>
          <w:rFonts w:ascii="Times New Roman" w:hAnsi="Times New Roman"/>
          <w:sz w:val="20"/>
          <w:szCs w:val="20"/>
          <w:lang w:eastAsia="ru-RU"/>
        </w:rPr>
        <w:t>Срок обучения – 8 лет</w:t>
      </w:r>
    </w:p>
    <w:tbl>
      <w:tblPr>
        <w:tblW w:w="149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5"/>
        <w:gridCol w:w="3250"/>
        <w:gridCol w:w="997"/>
        <w:gridCol w:w="1133"/>
        <w:gridCol w:w="568"/>
        <w:gridCol w:w="141"/>
        <w:gridCol w:w="572"/>
        <w:gridCol w:w="567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610"/>
        <w:gridCol w:w="49"/>
        <w:gridCol w:w="523"/>
        <w:gridCol w:w="626"/>
      </w:tblGrid>
      <w:tr w:rsidR="00D36213" w:rsidRPr="00D36213" w:rsidTr="007959AA">
        <w:trPr>
          <w:cantSplit/>
          <w:trHeight w:val="190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Индекс</w:t>
            </w:r>
          </w:p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аттестация</w:t>
            </w:r>
          </w:p>
          <w:p w:rsidR="00D36213" w:rsidRPr="00D36213" w:rsidRDefault="00D36213" w:rsidP="007959A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(по учебным полугодиям)</w:t>
            </w:r>
            <w:r w:rsidRPr="00D36213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D36213" w:rsidRPr="00D36213" w:rsidTr="007959AA">
        <w:trPr>
          <w:cantSplit/>
          <w:trHeight w:val="143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2-й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8-й класс</w:t>
            </w:r>
          </w:p>
        </w:tc>
      </w:tr>
      <w:tr w:rsidR="00D36213" w:rsidRPr="00D36213" w:rsidTr="007959AA">
        <w:trPr>
          <w:cantSplit/>
          <w:trHeight w:val="426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25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D36213" w:rsidRPr="00D36213" w:rsidTr="007959AA">
        <w:trPr>
          <w:cantSplit/>
          <w:trHeight w:val="27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3766,5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1955,5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D36213" w:rsidRPr="00D36213" w:rsidTr="007959AA">
        <w:trPr>
          <w:cantSplit/>
          <w:trHeight w:val="27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D36213" w:rsidRPr="00D36213" w:rsidTr="007959AA">
        <w:trPr>
          <w:trHeight w:val="25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Музыкальное исполнительство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ПО.01.УП.01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Специальность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2,4,6…-14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ПО.01.УП.02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Ансамбль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ПО.01.УП.03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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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ПО.01.УП.04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Хоровой класс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Теория и история музыки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ПО.02.УП.01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ПО.02.УП.02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Слушание музыки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ПО.02.УП.03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9,11,</w:t>
            </w:r>
          </w:p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36213" w:rsidRPr="00D36213" w:rsidTr="007959AA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7,5</w:t>
            </w:r>
          </w:p>
        </w:tc>
      </w:tr>
      <w:tr w:rsidR="00D36213" w:rsidRPr="00D36213" w:rsidTr="007959AA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</w:t>
            </w: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</w:t>
            </w: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</w:t>
            </w:r>
            <w:r w:rsidRPr="00D36213">
              <w:rPr>
                <w:rFonts w:ascii="Symbol" w:hAnsi="Symbol" w:cs="Arial CYR"/>
                <w:b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16,5</w:t>
            </w:r>
          </w:p>
        </w:tc>
      </w:tr>
      <w:tr w:rsidR="00D36213" w:rsidRPr="00D36213" w:rsidTr="007959AA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180,5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ПО.02.УП.01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В.02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Элементарная теория музыки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D36213" w:rsidRPr="00D36213" w:rsidTr="007959AA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1759,5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D36213" w:rsidRPr="00D36213" w:rsidTr="007959AA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3570,5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1759,5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</w:tr>
      <w:tr w:rsidR="00D36213" w:rsidRPr="00D36213" w:rsidTr="007959AA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36213" w:rsidRPr="00D36213" w:rsidTr="007959AA">
        <w:trPr>
          <w:trHeight w:val="16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К.03.03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13" w:rsidRPr="00D36213" w:rsidRDefault="00D36213" w:rsidP="007959AA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13" w:rsidRPr="00D36213" w:rsidRDefault="00D36213" w:rsidP="007959AA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Ансамбль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К.03.05.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13" w:rsidRPr="00D36213" w:rsidRDefault="00D36213" w:rsidP="007959AA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Сводный хор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36213" w:rsidRPr="00D36213" w:rsidTr="007959A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К.03.06.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13" w:rsidRPr="00D36213" w:rsidRDefault="00D36213" w:rsidP="007959AA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Оркестр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  <w:lang w:eastAsia="ru-RU"/>
              </w:rPr>
            </w:pP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</w:t>
            </w:r>
            <w:r w:rsidRPr="00D36213">
              <w:rPr>
                <w:rFonts w:ascii="Symbol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6213" w:rsidRPr="00D36213" w:rsidTr="007959AA">
        <w:trPr>
          <w:trHeight w:val="63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0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D36213" w:rsidRPr="00D36213" w:rsidTr="007959AA">
        <w:trPr>
          <w:trHeight w:val="34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ПА.04.01.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Промежуточная (экзаменационная)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2 </w:t>
            </w: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Сольфеджио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213" w:rsidRPr="00D36213" w:rsidTr="007959AA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36213" w:rsidRPr="00D36213" w:rsidRDefault="00D36213" w:rsidP="00795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21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D36213" w:rsidRPr="00D36213" w:rsidRDefault="00D36213" w:rsidP="00D3621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D36213" w:rsidRPr="00D36213" w:rsidRDefault="00D36213" w:rsidP="00D3621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36213">
        <w:rPr>
          <w:rFonts w:ascii="Times New Roman" w:hAnsi="Times New Roman"/>
          <w:b/>
          <w:i/>
          <w:sz w:val="20"/>
          <w:szCs w:val="20"/>
          <w:lang w:eastAsia="ru-RU"/>
        </w:rPr>
        <w:lastRenderedPageBreak/>
        <w:t>Примечание к учебному плану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2-4-го классов, хор из обучающихся 5-8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учебный предмет «Хоровой класс» на протяжении всего периода обучения. В случае отсутствия реализации данного предмета после третьего класса, часы, предусмотренные на консультации «Сводный хор», используются по усмотрению ДМШ на консультации по другим учебным предметам.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 xml:space="preserve">Учебный предмет «Оркестровый класс» предполагает занятия духового или </w:t>
      </w:r>
      <w:proofErr w:type="spellStart"/>
      <w:r w:rsidRPr="00D36213">
        <w:rPr>
          <w:rFonts w:ascii="Times New Roman" w:hAnsi="Times New Roman"/>
          <w:sz w:val="20"/>
          <w:szCs w:val="20"/>
        </w:rPr>
        <w:t>эстрадно</w:t>
      </w:r>
      <w:proofErr w:type="spellEnd"/>
      <w:r w:rsidRPr="00D36213">
        <w:rPr>
          <w:rFonts w:ascii="Times New Roman" w:hAnsi="Times New Roman"/>
          <w:sz w:val="20"/>
          <w:szCs w:val="20"/>
        </w:rPr>
        <w:t>-джазового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ДМШ на консультации по другим учебным предметам.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36213">
        <w:rPr>
          <w:rFonts w:ascii="Times New Roman" w:hAnsi="Times New Roman"/>
          <w:sz w:val="20"/>
          <w:szCs w:val="20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D36213" w:rsidRPr="00D36213" w:rsidRDefault="00D36213" w:rsidP="00D3621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6213">
        <w:rPr>
          <w:rFonts w:ascii="Times New Roman" w:hAnsi="Times New Roman"/>
          <w:sz w:val="20"/>
          <w:szCs w:val="20"/>
          <w:lang w:eastAsia="ru-RU"/>
        </w:rPr>
        <w:t>«Специальность» – 1-3 классы – по 2 часа в неделю; 4-6 классы – по 3 часа в неделю; 7-8 классы – по 4 часа в неделю; «Ансамбль» – 1 час в неделю; «Оркестровый класс» – 1 час в неделю; «Фортепиано» – 2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неделю.</w:t>
      </w:r>
    </w:p>
    <w:p w:rsidR="00D36213" w:rsidRPr="00D36213" w:rsidRDefault="00D36213" w:rsidP="00D36213">
      <w:pPr>
        <w:pStyle w:val="a3"/>
        <w:numPr>
          <w:ilvl w:val="0"/>
          <w:numId w:val="1"/>
        </w:numPr>
        <w:tabs>
          <w:tab w:val="clear" w:pos="72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36213">
        <w:rPr>
          <w:rFonts w:ascii="Times New Roman" w:hAnsi="Times New Roman"/>
          <w:bCs/>
          <w:sz w:val="20"/>
          <w:szCs w:val="20"/>
          <w:lang w:eastAsia="ru-RU"/>
        </w:rPr>
        <w:t xml:space="preserve"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ДМШ самостоятельно. </w:t>
      </w:r>
      <w:r w:rsidRPr="00D36213">
        <w:rPr>
          <w:rFonts w:ascii="Times New Roman" w:hAnsi="Times New Roman"/>
          <w:bCs/>
          <w:sz w:val="20"/>
          <w:szCs w:val="20"/>
        </w:rPr>
        <w:t>Объем времени вариативной части, предусматриваемый ДМШ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</w:t>
      </w:r>
      <w:r w:rsidRPr="00D36213">
        <w:rPr>
          <w:rFonts w:ascii="Times New Roman" w:hAnsi="Times New Roman"/>
          <w:bCs/>
          <w:sz w:val="20"/>
          <w:szCs w:val="20"/>
          <w:lang w:eastAsia="ru-RU"/>
        </w:rPr>
        <w:t xml:space="preserve">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части. 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36213">
        <w:rPr>
          <w:rFonts w:ascii="Times New Roman" w:hAnsi="Times New Roman"/>
          <w:bCs/>
          <w:sz w:val="20"/>
          <w:szCs w:val="20"/>
          <w:lang w:eastAsia="ru-RU"/>
        </w:rPr>
        <w:t>Часы для концертмейстера предусматриваются по предмету «Специальность» в объеме от 60 до 100% аудиторного времени.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6213">
        <w:rPr>
          <w:rFonts w:ascii="Times New Roman" w:hAnsi="Times New Roman"/>
          <w:sz w:val="20"/>
          <w:szCs w:val="20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«Ритмика» – до 100%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в случае отсутствия обучающихся по другим ОП в области музыкального искусства.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6213">
        <w:rPr>
          <w:rFonts w:ascii="Times New Roman" w:hAnsi="Times New Roman"/>
          <w:sz w:val="20"/>
          <w:szCs w:val="20"/>
          <w:lang w:eastAsia="ru-RU"/>
        </w:rPr>
        <w:t xml:space="preserve">ДШИ может самостоятельно определить наименования учебных предметов и их распределение по учебным полугодиям. 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6213">
        <w:rPr>
          <w:rFonts w:ascii="Times New Roman" w:hAnsi="Times New Roman"/>
          <w:sz w:val="20"/>
          <w:szCs w:val="20"/>
          <w:lang w:eastAsia="ru-RU"/>
        </w:rPr>
        <w:t xml:space="preserve">Объем максимальной нагрузки обучающихся не должен превышать 26 часов в неделю, аудиторной – 14 часов. </w:t>
      </w:r>
    </w:p>
    <w:p w:rsidR="00D36213" w:rsidRPr="00D36213" w:rsidRDefault="00D36213" w:rsidP="00D362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6213">
        <w:rPr>
          <w:rFonts w:ascii="Times New Roman" w:hAnsi="Times New Roman"/>
          <w:sz w:val="20"/>
          <w:szCs w:val="20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910E2E" w:rsidRDefault="00D36213" w:rsidP="00D36213">
      <w:r w:rsidRPr="00D36213">
        <w:rPr>
          <w:rFonts w:ascii="Times New Roman" w:hAnsi="Times New Roman"/>
          <w:sz w:val="20"/>
          <w:szCs w:val="20"/>
          <w:lang w:eastAsia="ru-RU"/>
        </w:rPr>
        <w:br w:type="page"/>
      </w:r>
    </w:p>
    <w:sectPr w:rsidR="00910E2E" w:rsidSect="00D362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50"/>
    <w:rsid w:val="00261B5D"/>
    <w:rsid w:val="00A12146"/>
    <w:rsid w:val="00A912EF"/>
    <w:rsid w:val="00D36213"/>
    <w:rsid w:val="00F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4325-1583-49C8-8F35-A8BB80A6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36213"/>
    <w:pPr>
      <w:autoSpaceDN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2016-10-12T04:24:00Z</cp:lastPrinted>
  <dcterms:created xsi:type="dcterms:W3CDTF">2016-10-12T04:22:00Z</dcterms:created>
  <dcterms:modified xsi:type="dcterms:W3CDTF">2017-04-14T10:54:00Z</dcterms:modified>
</cp:coreProperties>
</file>